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рекламы и связей с общественностью</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/Мельникова 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рекламы и связей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«Технологии рекламы и связей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рекламы и связей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маркетинговые инструменты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мониторинга обратной связи с разными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готовить изложение важнейших документов, материалов печати и информационных агентств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358.53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владеть навыками использования основных маркетинговых инструментов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использования системы / критериев мониторинга обратной связи с разными целевыми группами в практической деятельности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структуру современного общества, формы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формы социализации личности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формы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определять и освещать социально значимые проблемы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адаптироваться к изменениям социума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адаптироваться к условиям командной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анализа актуальных социальных проблем современности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владеть навыками социализации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владеть навыками командной работы, лидерскими качествами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«Технологии рекламы и связей с общественностью»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Дисциплина входит в перечень курсов комплексного моделя профессионального цикла. Дисциплина дает необходимые знания об основах технологий рекламы и связей с общественностью, формах реализации рекламных и PR-кампаний, знакомит с различными классификациями основных форм коммуникативного взаимодействия.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Речевая коммуникация в связях с общественностью и рекламе</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медиакоммуникаций</w:t>
            </w:r>
          </w:p>
          <w:p>
            <w:pPr>
              <w:jc w:val="center"/>
              <w:spacing w:after="0" w:line="240" w:lineRule="auto"/>
              <w:rPr>
                <w:sz w:val="22"/>
                <w:szCs w:val="22"/>
              </w:rPr>
            </w:pPr>
            <w:r>
              <w:rPr>
                <w:rFonts w:ascii="Times New Roman" w:hAnsi="Times New Roman" w:cs="Times New Roman"/>
                <w:color w:val="#000000"/>
                <w:sz w:val="22"/>
                <w:szCs w:val="22"/>
              </w:rPr>
              <w:t> Теория и практика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функциональной деятельности подразделения/агентства/специалиста порекламе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функциональной деятельности подразделения/агентства/специалиста порекламе и связям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Взаимозависимость коммуникационного плана и общей стратегии (перспективного плана социально- экономического развития)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антикризисных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Каналы передачи информации и возможности работы с ними в режиме рекламы 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Digital-коммуникации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Коммуникационные мероприятия для СМИ и других целевых аудиторий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Коммуникационные кампании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форматы коммуникационных материалов (посланий) для целевых аудиторий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Взаимозависимость коммуникационного плана и общей стратегии (перспективного плана социально- экономического развития) объекта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и реализация количественных исследований совместно с исполнителем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Юридические основы и практическая деятельность по планированию и реализации контрактов на исполнение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987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функциональной деятельности подразделения/агентства/специалиста порекламе и связям с общественностью</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Взаимозависимость коммуникационного плана и общей стратегии (перспективного плана социально-экономического развития) объекта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антикризисных коммуникаций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Юридические основы и практическая деятельность по планированию и реализации контрактов на исполнение проектов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рекламы и связей с общественностью» / Мельникова 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http://www.iprbookshop.ru/61081.html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https://www.biblio-online.ru/bcode/398656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Бабочиева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Белянина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Быстрянцев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Карпухина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Меткин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Старенченко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https://urait.ru/bcode/428019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инженерия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Володина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Бабочиева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Белянина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Быстрянцев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Гусев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Карпухина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Меткин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Старенченко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https://urait.ru/bcode/408312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органах</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Жеглова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Мехонцев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Монахов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Погребенков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Репко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Чащихин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978-5-534-04540-6.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https://urait.ru/bcode/412895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Красильникова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978-5-534-00227-0.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https://www.biblio-online.ru/bcode/412842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Чумиков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https://urait.ru/bcode/441947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специальность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Швед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978-5-9916-3077-1.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87.43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2023-2024_ФГОС3++2023_Бак-ЗФО-РСО(23)_plx_Технологии рекламы и связей с общественностью</dc:title>
  <dc:creator>FastReport.NET</dc:creator>
</cp:coreProperties>
</file>